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9B" w:rsidRDefault="00375425" w:rsidP="003754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b/>
          <w:sz w:val="28"/>
          <w:szCs w:val="28"/>
        </w:rPr>
        <w:t>Responding to Absences</w:t>
      </w:r>
    </w:p>
    <w:tbl>
      <w:tblPr>
        <w:tblStyle w:val="a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7"/>
        <w:gridCol w:w="7462"/>
      </w:tblGrid>
      <w:tr w:rsidR="003E639B">
        <w:trPr>
          <w:trHeight w:val="418"/>
        </w:trPr>
        <w:tc>
          <w:tcPr>
            <w:tcW w:w="2887" w:type="dxa"/>
            <w:shd w:val="clear" w:color="auto" w:fill="C0C0C0"/>
            <w:vAlign w:val="center"/>
          </w:tcPr>
          <w:p w:rsidR="003E639B" w:rsidRDefault="0039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Attendance Issue</w:t>
            </w:r>
          </w:p>
        </w:tc>
        <w:tc>
          <w:tcPr>
            <w:tcW w:w="7462" w:type="dxa"/>
            <w:shd w:val="clear" w:color="auto" w:fill="C0C0C0"/>
            <w:vAlign w:val="center"/>
          </w:tcPr>
          <w:p w:rsidR="003E639B" w:rsidRDefault="0039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Responses</w:t>
            </w:r>
          </w:p>
        </w:tc>
      </w:tr>
      <w:tr w:rsidR="003E639B">
        <w:tc>
          <w:tcPr>
            <w:tcW w:w="2887" w:type="dxa"/>
          </w:tcPr>
          <w:p w:rsidR="003E639B" w:rsidRDefault="0039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Unexplained absences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Inconsistent attendance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Repeated absences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Periods of time away from school</w:t>
            </w:r>
          </w:p>
        </w:tc>
        <w:tc>
          <w:tcPr>
            <w:tcW w:w="7462" w:type="dxa"/>
          </w:tcPr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48" w:line="259" w:lineRule="auto"/>
              <w:rPr>
                <w:color w:val="0B0C1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Contact families.  When </w:t>
            </w:r>
            <w:r>
              <w:rPr>
                <w:color w:val="0B0C1D"/>
                <w:sz w:val="22"/>
                <w:szCs w:val="22"/>
              </w:rPr>
              <w:t>teachers follow up on student absences, it is likely to have a bigger impact on attendance than an automated message or routine call from administrative staff. Teachers are most likely to be successful in improving attendance when they reach out to familie</w:t>
            </w:r>
            <w:r>
              <w:rPr>
                <w:color w:val="0B0C1D"/>
                <w:sz w:val="22"/>
                <w:szCs w:val="22"/>
              </w:rPr>
              <w:t xml:space="preserve">s in an encouraging and constructive way (DET School Attendance Guidance). 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Collect detailed absence data for all students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unavailable by phone send a letter home or email to establish contact and refer to school attendance officer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multiple unexplained absences occur, refer to school-based supports such as wellbeing staff and report to school leadership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Invite families and students to a school meeting/PSG to seek additional information to plan for supports. The earlier the better.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unexplained absences continue, refer to relevant supports such as Navigator, SSSO, MH Practitioners in schools. 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Report to DET School Attendance Officer after more than five unexplained or unauthorised absences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unexplained absences continue, refer t</w:t>
            </w:r>
            <w:r>
              <w:rPr>
                <w:color w:val="000000"/>
                <w:sz w:val="22"/>
                <w:szCs w:val="22"/>
              </w:rPr>
              <w:t xml:space="preserve">o relevant external agencies such as CAMHS, </w:t>
            </w:r>
            <w:proofErr w:type="spellStart"/>
            <w:r>
              <w:rPr>
                <w:color w:val="000000"/>
                <w:sz w:val="22"/>
                <w:szCs w:val="22"/>
              </w:rPr>
              <w:t>ChildFIRST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 Child Protection (DHHS) </w:t>
            </w:r>
          </w:p>
          <w:p w:rsidR="003E639B" w:rsidRDefault="003E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after="160" w:line="259" w:lineRule="auto"/>
              <w:ind w:left="175"/>
              <w:rPr>
                <w:color w:val="000000"/>
                <w:sz w:val="22"/>
                <w:szCs w:val="22"/>
              </w:rPr>
            </w:pPr>
          </w:p>
        </w:tc>
      </w:tr>
      <w:tr w:rsidR="003E639B">
        <w:tc>
          <w:tcPr>
            <w:tcW w:w="2887" w:type="dxa"/>
          </w:tcPr>
          <w:p w:rsidR="003E639B" w:rsidRDefault="0039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Explained absences:</w:t>
            </w:r>
          </w:p>
          <w:p w:rsidR="003E639B" w:rsidRDefault="003919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Medical appointments</w:t>
            </w:r>
          </w:p>
          <w:p w:rsidR="003E639B" w:rsidRDefault="003919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Repeated illness</w:t>
            </w:r>
          </w:p>
          <w:p w:rsidR="003E639B" w:rsidRDefault="003E639B">
            <w:pPr>
              <w:rPr>
                <w:b/>
                <w:sz w:val="22"/>
                <w:szCs w:val="22"/>
              </w:rPr>
            </w:pPr>
          </w:p>
          <w:p w:rsidR="003E639B" w:rsidRDefault="003E639B">
            <w:pPr>
              <w:rPr>
                <w:b/>
                <w:sz w:val="22"/>
                <w:szCs w:val="22"/>
              </w:rPr>
            </w:pPr>
          </w:p>
          <w:p w:rsidR="003E639B" w:rsidRDefault="003E639B">
            <w:pPr>
              <w:rPr>
                <w:b/>
                <w:sz w:val="22"/>
                <w:szCs w:val="22"/>
              </w:rPr>
            </w:pPr>
          </w:p>
          <w:p w:rsidR="003E639B" w:rsidRDefault="003E639B">
            <w:pPr>
              <w:rPr>
                <w:b/>
                <w:sz w:val="22"/>
                <w:szCs w:val="22"/>
              </w:rPr>
            </w:pPr>
          </w:p>
        </w:tc>
        <w:tc>
          <w:tcPr>
            <w:tcW w:w="7462" w:type="dxa"/>
          </w:tcPr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Request a medical certificate be provided for two or more days of absence related to reported illness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Communicate expectations that student will not be absent entire day and can attend before or after appointments if they are well enough to attend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When appropriate, encourage appointments to be scheduled outside school hours and request medical certificate</w:t>
            </w:r>
          </w:p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Meet </w:t>
            </w:r>
            <w:proofErr w:type="gramStart"/>
            <w:r>
              <w:rPr>
                <w:color w:val="000000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 families</w:t>
            </w:r>
            <w:proofErr w:type="gramEnd"/>
            <w:r>
              <w:rPr>
                <w:sz w:val="22"/>
                <w:szCs w:val="22"/>
              </w:rPr>
              <w:t xml:space="preserve"> and students</w:t>
            </w:r>
            <w:r>
              <w:rPr>
                <w:color w:val="000000"/>
                <w:sz w:val="22"/>
                <w:szCs w:val="22"/>
              </w:rPr>
              <w:t xml:space="preserve"> who have multiple and repeated absences to identify needs and provide support</w:t>
            </w:r>
          </w:p>
          <w:p w:rsidR="003E639B" w:rsidRDefault="003E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after="160" w:line="259" w:lineRule="auto"/>
              <w:ind w:left="175"/>
              <w:rPr>
                <w:color w:val="000000"/>
                <w:sz w:val="22"/>
                <w:szCs w:val="22"/>
              </w:rPr>
            </w:pPr>
          </w:p>
        </w:tc>
      </w:tr>
      <w:tr w:rsidR="003E639B">
        <w:tc>
          <w:tcPr>
            <w:tcW w:w="2887" w:type="dxa"/>
          </w:tcPr>
          <w:p w:rsidR="003E639B" w:rsidRDefault="003919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explained absences</w:t>
            </w:r>
          </w:p>
          <w:p w:rsidR="003E639B" w:rsidRDefault="003919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Suspensions</w:t>
            </w:r>
          </w:p>
        </w:tc>
        <w:tc>
          <w:tcPr>
            <w:tcW w:w="7462" w:type="dxa"/>
          </w:tcPr>
          <w:p w:rsidR="003E639B" w:rsidRDefault="003919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Meet with families and students who have single, multiple or repeated suspensions to identify </w:t>
            </w:r>
            <w:r>
              <w:rPr>
                <w:sz w:val="22"/>
                <w:szCs w:val="22"/>
              </w:rPr>
              <w:t>needs</w:t>
            </w:r>
            <w:r>
              <w:rPr>
                <w:color w:val="000000"/>
                <w:sz w:val="22"/>
                <w:szCs w:val="22"/>
              </w:rPr>
              <w:t xml:space="preserve"> and implement </w:t>
            </w:r>
            <w:proofErr w:type="gramStart"/>
            <w:r>
              <w:rPr>
                <w:color w:val="000000"/>
                <w:sz w:val="22"/>
                <w:szCs w:val="22"/>
              </w:rPr>
              <w:t>school based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supports</w:t>
            </w:r>
          </w:p>
          <w:p w:rsidR="003E639B" w:rsidRDefault="003E6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6"/>
              </w:tabs>
              <w:spacing w:after="160" w:line="259" w:lineRule="auto"/>
              <w:ind w:left="175"/>
              <w:rPr>
                <w:color w:val="000000"/>
                <w:sz w:val="22"/>
                <w:szCs w:val="22"/>
              </w:rPr>
            </w:pPr>
          </w:p>
        </w:tc>
      </w:tr>
    </w:tbl>
    <w:p w:rsidR="003E639B" w:rsidRDefault="003E639B">
      <w:pPr>
        <w:rPr>
          <w:b/>
          <w:sz w:val="28"/>
          <w:szCs w:val="28"/>
          <w:highlight w:val="yellow"/>
        </w:rPr>
      </w:pPr>
      <w:bookmarkStart w:id="0" w:name="_heading=h.gjdgxs" w:colFirst="0" w:colLast="0"/>
      <w:bookmarkStart w:id="1" w:name="_GoBack"/>
      <w:bookmarkEnd w:id="0"/>
      <w:bookmarkEnd w:id="1"/>
    </w:p>
    <w:p w:rsidR="003E639B" w:rsidRDefault="003E639B">
      <w:pPr>
        <w:jc w:val="center"/>
        <w:rPr>
          <w:b/>
        </w:rPr>
      </w:pPr>
    </w:p>
    <w:sectPr w:rsidR="003E639B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999" w:rsidRDefault="00391999">
      <w:pPr>
        <w:spacing w:after="0" w:line="240" w:lineRule="auto"/>
      </w:pPr>
      <w:r>
        <w:separator/>
      </w:r>
    </w:p>
  </w:endnote>
  <w:endnote w:type="continuationSeparator" w:id="0">
    <w:p w:rsidR="00391999" w:rsidRDefault="0039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999" w:rsidRDefault="00391999">
      <w:pPr>
        <w:spacing w:after="0" w:line="240" w:lineRule="auto"/>
      </w:pPr>
      <w:r>
        <w:separator/>
      </w:r>
    </w:p>
  </w:footnote>
  <w:footnote w:type="continuationSeparator" w:id="0">
    <w:p w:rsidR="00391999" w:rsidRDefault="0039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9B" w:rsidRDefault="003919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944880" cy="669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639B" w:rsidRDefault="003919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School Resource</w:t>
    </w:r>
  </w:p>
  <w:p w:rsidR="003E639B" w:rsidRDefault="003E6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4EC6"/>
    <w:multiLevelType w:val="multilevel"/>
    <w:tmpl w:val="AE8817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3B26FC"/>
    <w:multiLevelType w:val="multilevel"/>
    <w:tmpl w:val="7BC47C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3648BC"/>
    <w:multiLevelType w:val="multilevel"/>
    <w:tmpl w:val="32AE87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9B"/>
    <w:rsid w:val="00375425"/>
    <w:rsid w:val="00391999"/>
    <w:rsid w:val="003E639B"/>
    <w:rsid w:val="006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6FBE"/>
  <w15:docId w15:val="{55E32CAF-0A73-41D9-B54F-E57D5C6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3B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C23BB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EC23B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61"/>
  </w:style>
  <w:style w:type="paragraph" w:styleId="Footer">
    <w:name w:val="footer"/>
    <w:basedOn w:val="Normal"/>
    <w:link w:val="FooterChar"/>
    <w:uiPriority w:val="99"/>
    <w:unhideWhenUsed/>
    <w:rsid w:val="00DE5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61"/>
  </w:style>
  <w:style w:type="character" w:styleId="Hyperlink">
    <w:name w:val="Hyperlink"/>
    <w:basedOn w:val="DefaultParagraphFont"/>
    <w:uiPriority w:val="99"/>
    <w:unhideWhenUsed/>
    <w:rsid w:val="00DE59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9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8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zqZf9P+/iYINwltzb5Zis3oag==">AMUW2mXTXD9PdDuh0FuhudRBSALqexzPT3YC1PyeYm7h7uZWHP9QPa+OwSTKhyU+5n+4Kw8g9fzLDVHhWpBxnqYrW1Uxdae241soMACvtxGwB22boxgaHQjEYggzZC0AA5gkcNeS/B7J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Buuren, Sonja T</dc:creator>
  <cp:lastModifiedBy>Nixon, Poppy E</cp:lastModifiedBy>
  <cp:revision>3</cp:revision>
  <dcterms:created xsi:type="dcterms:W3CDTF">2020-11-11T22:30:00Z</dcterms:created>
  <dcterms:modified xsi:type="dcterms:W3CDTF">2020-12-16T00:41:00Z</dcterms:modified>
</cp:coreProperties>
</file>